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/>
          <w:b/>
          <w:bCs/>
          <w:color w:val="1A0000"/>
          <w:kern w:val="0"/>
          <w:sz w:val="24"/>
          <w:szCs w:val="24"/>
        </w:rPr>
      </w:pPr>
      <w:proofErr w:type="gramStart"/>
      <w:r>
        <w:rPr>
          <w:rFonts w:ascii="CenturyGothic-Bold" w:hAnsi="CenturyGothic-Bold" w:cs="CenturyGothic-Bold"/>
          <w:b/>
          <w:bCs/>
          <w:color w:val="1A0000"/>
          <w:kern w:val="0"/>
          <w:sz w:val="24"/>
          <w:szCs w:val="24"/>
        </w:rPr>
        <w:t>7TH INTERNATIONAL</w:t>
      </w:r>
      <w:r>
        <w:rPr>
          <w:rFonts w:ascii="CenturyGothic-Bold" w:hAnsi="CenturyGothic-Bold" w:cs="CenturyGothic-Bold" w:hint="eastAsia"/>
          <w:b/>
          <w:bCs/>
          <w:color w:val="1A0000"/>
          <w:kern w:val="0"/>
          <w:sz w:val="24"/>
          <w:szCs w:val="24"/>
        </w:rPr>
        <w:t xml:space="preserve"> </w:t>
      </w:r>
      <w:r>
        <w:rPr>
          <w:rFonts w:ascii="CenturyGothic-Bold" w:hAnsi="CenturyGothic-Bold" w:cs="CenturyGothic-Bold"/>
          <w:b/>
          <w:bCs/>
          <w:color w:val="1A0000"/>
          <w:kern w:val="0"/>
          <w:sz w:val="24"/>
          <w:szCs w:val="24"/>
        </w:rPr>
        <w:t>ONE VILLAGE ONE PRODUCT (OVOP) SEMINAR.</w:t>
      </w:r>
      <w:proofErr w:type="gramEnd"/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1. THEME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 w:hint="eastAsia"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>
        <w:rPr>
          <w:rFonts w:ascii="CenturyGothic" w:hAnsi="CenturyGothic" w:cs="CenturyGothic"/>
          <w:color w:val="000000"/>
          <w:kern w:val="0"/>
          <w:sz w:val="24"/>
          <w:szCs w:val="24"/>
        </w:rPr>
        <w:t>OVOP in process of model rural area development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2. OBJECTIVE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 w:hint="eastAsia"/>
          <w:color w:val="000000"/>
          <w:kern w:val="0"/>
          <w:sz w:val="24"/>
          <w:szCs w:val="24"/>
        </w:rPr>
      </w:pPr>
    </w:p>
    <w:p w:rsidR="0088159F" w:rsidRPr="0088159F" w:rsidRDefault="0088159F" w:rsidP="0088159F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Sharing experiences comes from successful projects on OVOP in selected</w:t>
      </w:r>
      <w:r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countries.</w:t>
      </w:r>
    </w:p>
    <w:p w:rsidR="0088159F" w:rsidRPr="0088159F" w:rsidRDefault="0088159F" w:rsidP="0088159F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To find out basic factors by governmental policies on development of OVOP</w:t>
      </w:r>
      <w:r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movement in countries to bring long benefit for producers.</w:t>
      </w:r>
    </w:p>
    <w:p w:rsidR="0088159F" w:rsidRPr="0088159F" w:rsidRDefault="0088159F" w:rsidP="0088159F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To develop an Agreement on OVOP cooperation, of which a discussion on</w:t>
      </w:r>
      <w:r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establishment of Global OVOP Association and the Glob</w:t>
      </w:r>
      <w:r>
        <w:rPr>
          <w:rFonts w:ascii="CenturyGothic" w:hAnsi="CenturyGothic" w:cs="CenturyGothic"/>
          <w:color w:val="000000"/>
          <w:kern w:val="0"/>
          <w:sz w:val="24"/>
          <w:szCs w:val="24"/>
        </w:rPr>
        <w:t>al OVOP</w:t>
      </w:r>
      <w:r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Association’s</w:t>
      </w:r>
      <w:r w:rsidRPr="0088159F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website will be conducted.</w:t>
      </w:r>
    </w:p>
    <w:p w:rsidR="0088159F" w:rsidRP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3. DATE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 w:hint="eastAsia"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>
        <w:rPr>
          <w:rFonts w:ascii="CenturyGothic" w:hAnsi="CenturyGothic" w:cs="CenturyGothic"/>
          <w:color w:val="000000"/>
          <w:kern w:val="0"/>
          <w:sz w:val="24"/>
          <w:szCs w:val="24"/>
        </w:rPr>
        <w:t>From Tuesday 14 to Wednesday 15 December 2010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4. VENUE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 w:hint="eastAsia"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>
        <w:rPr>
          <w:rFonts w:ascii="CenturyGothic" w:hAnsi="CenturyGothic" w:cs="CenturyGothic"/>
          <w:color w:val="000000"/>
          <w:kern w:val="0"/>
          <w:sz w:val="24"/>
          <w:szCs w:val="24"/>
        </w:rPr>
        <w:t>The National Convention Center (http://www.ncc.gov.vn)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>
        <w:rPr>
          <w:rFonts w:ascii="CenturyGothic" w:hAnsi="CenturyGothic" w:cs="CenturyGothic"/>
          <w:color w:val="000000"/>
          <w:kern w:val="0"/>
          <w:sz w:val="24"/>
          <w:szCs w:val="24"/>
        </w:rPr>
        <w:t>57 Pham Hung Road, Hanoi, Viet Nam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5. SPONSOR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 w:hint="eastAsia"/>
          <w:color w:val="000000"/>
          <w:kern w:val="0"/>
          <w:sz w:val="24"/>
          <w:szCs w:val="24"/>
        </w:rPr>
      </w:pPr>
    </w:p>
    <w:p w:rsidR="0088159F" w:rsidRPr="0088159F" w:rsidRDefault="0088159F" w:rsidP="0088159F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Government of The Social Republic of Vietnam – Ministry of Agriculture and</w:t>
      </w:r>
      <w:r w:rsidRPr="0088159F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Rural Development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6. ORGANIZOR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 w:hint="eastAsia"/>
          <w:color w:val="000000"/>
          <w:kern w:val="0"/>
          <w:sz w:val="24"/>
          <w:szCs w:val="24"/>
        </w:rPr>
      </w:pPr>
    </w:p>
    <w:p w:rsidR="0088159F" w:rsidRPr="0088159F" w:rsidRDefault="0088159F" w:rsidP="0088159F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Government of The Social Republic of Vietnam – Ministry of Agriculture and</w:t>
      </w:r>
      <w:r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Rural Development</w:t>
      </w:r>
    </w:p>
    <w:p w:rsidR="0088159F" w:rsidRPr="0088159F" w:rsidRDefault="0088159F" w:rsidP="0088159F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Oita OVOP International Exchange Promotion Committee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lastRenderedPageBreak/>
        <w:t>7. KEYNOTE SPEECH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 w:hint="eastAsia"/>
          <w:color w:val="000000"/>
          <w:kern w:val="0"/>
          <w:sz w:val="24"/>
          <w:szCs w:val="24"/>
        </w:rPr>
      </w:pPr>
    </w:p>
    <w:p w:rsidR="0088159F" w:rsidRPr="0088159F" w:rsidRDefault="0088159F" w:rsidP="0088159F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Minister of Ministry of Agriculture and Rural Development (MARD)</w:t>
      </w:r>
    </w:p>
    <w:p w:rsidR="0088159F" w:rsidRPr="0088159F" w:rsidRDefault="0088159F" w:rsidP="0088159F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proofErr w:type="spellStart"/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Hiramatsu</w:t>
      </w:r>
      <w:proofErr w:type="spellEnd"/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</w:t>
      </w:r>
      <w:proofErr w:type="spellStart"/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Morihiko</w:t>
      </w:r>
      <w:proofErr w:type="spellEnd"/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</w:t>
      </w:r>
      <w:proofErr w:type="spellStart"/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Ph.D</w:t>
      </w:r>
      <w:proofErr w:type="spellEnd"/>
    </w:p>
    <w:p w:rsidR="0088159F" w:rsidRPr="0088159F" w:rsidRDefault="0088159F" w:rsidP="0088159F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Head of International OVOP Policy Association (IOPA)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 w:hint="eastAsia"/>
          <w:b/>
          <w:bCs/>
          <w:color w:val="FFFFFF"/>
          <w:kern w:val="0"/>
          <w:sz w:val="24"/>
          <w:szCs w:val="24"/>
        </w:rPr>
      </w:pP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8. TENTATIVE SEMINAR SPEAKERS</w:t>
      </w:r>
    </w:p>
    <w:p w:rsidR="0088159F" w:rsidRDefault="0088159F" w:rsidP="0088159F">
      <w:pPr>
        <w:autoSpaceDE w:val="0"/>
        <w:autoSpaceDN w:val="0"/>
        <w:adjustRightInd w:val="0"/>
        <w:jc w:val="left"/>
        <w:rPr>
          <w:rFonts w:ascii="CenturyGothic" w:hAnsi="CenturyGothic" w:cs="CenturyGothic" w:hint="eastAsia"/>
          <w:color w:val="000000"/>
          <w:kern w:val="0"/>
          <w:sz w:val="24"/>
          <w:szCs w:val="24"/>
        </w:rPr>
      </w:pPr>
    </w:p>
    <w:p w:rsidR="0088159F" w:rsidRPr="0088159F" w:rsidRDefault="0088159F" w:rsidP="0088159F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Japan: Oita OVOP International Exchange Promotion Committee and</w:t>
      </w:r>
      <w:r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Ritsumeikan</w:t>
      </w:r>
      <w:proofErr w:type="spellEnd"/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Asia Pacific University (APU)</w:t>
      </w:r>
    </w:p>
    <w:p w:rsidR="0088159F" w:rsidRPr="0088159F" w:rsidRDefault="0088159F" w:rsidP="0088159F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China:</w:t>
      </w:r>
    </w:p>
    <w:p w:rsidR="0088159F" w:rsidRPr="0088159F" w:rsidRDefault="0088159F" w:rsidP="0088159F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Thailand:</w:t>
      </w:r>
    </w:p>
    <w:p w:rsidR="0088159F" w:rsidRPr="0088159F" w:rsidRDefault="0088159F" w:rsidP="0088159F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Indonesia/Malawi:</w:t>
      </w:r>
    </w:p>
    <w:p w:rsidR="00953BF1" w:rsidRDefault="0088159F" w:rsidP="0088159F">
      <w:pPr>
        <w:pStyle w:val="a3"/>
        <w:numPr>
          <w:ilvl w:val="0"/>
          <w:numId w:val="5"/>
        </w:numPr>
        <w:ind w:leftChars="0"/>
        <w:jc w:val="left"/>
      </w:pPr>
      <w:r w:rsidRPr="0088159F">
        <w:rPr>
          <w:rFonts w:ascii="CenturyGothic" w:hAnsi="CenturyGothic" w:cs="CenturyGothic"/>
          <w:color w:val="000000"/>
          <w:kern w:val="0"/>
          <w:sz w:val="24"/>
          <w:szCs w:val="24"/>
        </w:rPr>
        <w:t>Vietnam: Minister of Ministry of Agriculture and Rural Development (MARD)</w:t>
      </w:r>
    </w:p>
    <w:sectPr w:rsidR="00953BF1" w:rsidSect="00953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03B61"/>
    <w:multiLevelType w:val="hybridMultilevel"/>
    <w:tmpl w:val="7982D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3F6160"/>
    <w:multiLevelType w:val="hybridMultilevel"/>
    <w:tmpl w:val="B08C6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650BCB"/>
    <w:multiLevelType w:val="hybridMultilevel"/>
    <w:tmpl w:val="0438244E"/>
    <w:lvl w:ilvl="0" w:tplc="E57C6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E07BCD"/>
    <w:multiLevelType w:val="hybridMultilevel"/>
    <w:tmpl w:val="716C9EA6"/>
    <w:lvl w:ilvl="0" w:tplc="E57C6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7C5D6F"/>
    <w:multiLevelType w:val="hybridMultilevel"/>
    <w:tmpl w:val="46CEC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59F"/>
    <w:rsid w:val="0088159F"/>
    <w:rsid w:val="0095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9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</dc:creator>
  <cp:lastModifiedBy>psg</cp:lastModifiedBy>
  <cp:revision>1</cp:revision>
  <dcterms:created xsi:type="dcterms:W3CDTF">2012-12-04T07:42:00Z</dcterms:created>
  <dcterms:modified xsi:type="dcterms:W3CDTF">2012-12-04T07:49:00Z</dcterms:modified>
</cp:coreProperties>
</file>